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CB2BF0">
      <w:pPr>
        <w:pStyle w:val="a8"/>
        <w:jc w:val="right"/>
      </w:pPr>
      <w:r w:rsidRPr="006F532D">
        <w:t>П</w:t>
      </w:r>
      <w:r w:rsidR="00EF23AA" w:rsidRPr="006F532D">
        <w:t xml:space="preserve">риложение 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CB2BF0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8E09FF">
        <w:rPr>
          <w:rFonts w:ascii="Times New Roman" w:hAnsi="Times New Roman"/>
          <w:sz w:val="24"/>
          <w:szCs w:val="24"/>
        </w:rPr>
        <w:t>16.04.2025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4F79F1">
        <w:rPr>
          <w:rFonts w:ascii="Times New Roman" w:hAnsi="Times New Roman"/>
          <w:sz w:val="24"/>
          <w:szCs w:val="24"/>
        </w:rPr>
        <w:t>1</w:t>
      </w:r>
      <w:r w:rsidR="00BB3AC4">
        <w:rPr>
          <w:rFonts w:ascii="Times New Roman" w:hAnsi="Times New Roman"/>
          <w:sz w:val="24"/>
          <w:szCs w:val="24"/>
        </w:rPr>
        <w:t>7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Default="00EF23AA" w:rsidP="0083656B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BB3AC4" w:rsidRPr="00BB3AC4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</w:t>
      </w:r>
      <w:r w:rsidR="00BB3AC4" w:rsidRPr="00BB3AC4">
        <w:rPr>
          <w:rFonts w:ascii="Arial" w:hAnsi="Arial" w:cs="Arial"/>
          <w:b/>
          <w:iCs/>
          <w:sz w:val="28"/>
          <w:szCs w:val="28"/>
        </w:rPr>
        <w:t>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333B52">
        <w:rPr>
          <w:rFonts w:ascii="Times New Roman" w:hAnsi="Times New Roman"/>
          <w:b/>
          <w:sz w:val="28"/>
          <w:szCs w:val="28"/>
        </w:rPr>
        <w:t>4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4F79F1" w:rsidRPr="004F79F1">
        <w:rPr>
          <w:rFonts w:ascii="Times New Roman" w:hAnsi="Times New Roman"/>
          <w:b/>
          <w:sz w:val="28"/>
          <w:szCs w:val="28"/>
        </w:rPr>
        <w:t>«</w:t>
      </w:r>
      <w:r w:rsidR="00BB3AC4" w:rsidRPr="00BB3AC4">
        <w:rPr>
          <w:rFonts w:ascii="Times New Roman" w:hAnsi="Times New Roman"/>
          <w:b/>
          <w:sz w:val="28"/>
          <w:szCs w:val="28"/>
        </w:rPr>
        <w:t>Обеспечение качественными услугами ЖКХ населения»</w:t>
      </w:r>
      <w:r w:rsidR="004F79F1" w:rsidRPr="004F79F1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  <w:r w:rsidR="004F79F1" w:rsidRPr="00696E63">
        <w:rPr>
          <w:rFonts w:ascii="Times New Roman" w:hAnsi="Times New Roman"/>
          <w:sz w:val="24"/>
          <w:szCs w:val="24"/>
        </w:rPr>
        <w:t xml:space="preserve"> 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CB2BF0">
        <w:rPr>
          <w:rFonts w:ascii="Times New Roman" w:hAnsi="Times New Roman"/>
          <w:b/>
          <w:sz w:val="28"/>
          <w:szCs w:val="28"/>
        </w:rPr>
        <w:t>4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F79F1" w:rsidRPr="006F532D" w:rsidRDefault="004F79F1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подпрограммы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25C936D" wp14:editId="6490AEF0">
            <wp:extent cx="1590675" cy="247650"/>
            <wp:effectExtent l="0" t="0" r="0" b="0"/>
            <wp:docPr id="25" name="Рисунок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D940E39" wp14:editId="53F25CCC">
            <wp:extent cx="466725" cy="228600"/>
            <wp:effectExtent l="0" t="0" r="0" b="0"/>
            <wp:docPr id="26" name="Рисунок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DEF1E0" wp14:editId="6AF1EA33">
            <wp:extent cx="428625" cy="247650"/>
            <wp:effectExtent l="0" t="0" r="0" b="0"/>
            <wp:docPr id="27" name="Рисунок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B29FD6" wp14:editId="28AAB195">
            <wp:extent cx="419100" cy="228600"/>
            <wp:effectExtent l="0" t="0" r="0" b="0"/>
            <wp:docPr id="28" name="Рисунок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СД</w:t>
      </w:r>
      <w:r w:rsidRPr="006F532D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 w:rsidRPr="006F532D"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F532D">
        <w:rPr>
          <w:rFonts w:ascii="Times New Roman" w:hAnsi="Times New Roman"/>
          <w:sz w:val="24"/>
          <w:szCs w:val="24"/>
        </w:rPr>
        <w:t xml:space="preserve">= 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F9677C" w:rsidRPr="006F532D">
        <w:rPr>
          <w:rFonts w:ascii="Times New Roman" w:hAnsi="Times New Roman"/>
          <w:sz w:val="24"/>
          <w:szCs w:val="24"/>
        </w:rPr>
        <w:t>1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76B56A1" wp14:editId="2BE72C7D">
            <wp:extent cx="1447800" cy="447675"/>
            <wp:effectExtent l="0" t="0" r="0" b="0"/>
            <wp:docPr id="29" name="Рисунок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EA2949F" wp14:editId="1E2C701B">
            <wp:extent cx="371475" cy="228600"/>
            <wp:effectExtent l="0" t="0" r="0" b="0"/>
            <wp:docPr id="30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9D57535" wp14:editId="7CFE2AF9">
            <wp:extent cx="466725" cy="228600"/>
            <wp:effectExtent l="0" t="0" r="0" b="0"/>
            <wp:docPr id="31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DC37F8E" wp14:editId="1001300C">
            <wp:extent cx="466725" cy="228600"/>
            <wp:effectExtent l="0" t="0" r="0" b="0"/>
            <wp:docPr id="704" name="Рисунок 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больше 1, значение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89CFE73" wp14:editId="59DA3D32">
            <wp:extent cx="466725" cy="228600"/>
            <wp:effectExtent l="0" t="0" r="0" b="0"/>
            <wp:docPr id="705" name="Рисунок 7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6F532D">
        <w:rPr>
          <w:rFonts w:ascii="Times New Roman" w:hAnsi="Times New Roman"/>
          <w:sz w:val="24"/>
          <w:szCs w:val="24"/>
        </w:rPr>
        <w:t>равным</w:t>
      </w:r>
      <w:proofErr w:type="gramEnd"/>
      <w:r w:rsidRPr="006F532D">
        <w:rPr>
          <w:rFonts w:ascii="Times New Roman" w:hAnsi="Times New Roman"/>
          <w:sz w:val="24"/>
          <w:szCs w:val="24"/>
        </w:rPr>
        <w:t xml:space="preserve"> 1.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</w:t>
      </w:r>
      <w:r w:rsidRPr="006F532D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>/</w:t>
      </w:r>
      <w:proofErr w:type="gramStart"/>
      <w:r w:rsidRPr="006F532D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Pr="006F532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F532D">
        <w:rPr>
          <w:rFonts w:ascii="Times New Roman" w:hAnsi="Times New Roman"/>
          <w:sz w:val="24"/>
          <w:szCs w:val="24"/>
        </w:rPr>
        <w:t>=</w:t>
      </w:r>
      <w:r w:rsidR="00344F4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344F4E">
        <w:rPr>
          <w:rFonts w:ascii="Times New Roman" w:hAnsi="Times New Roman"/>
          <w:sz w:val="24"/>
          <w:szCs w:val="24"/>
        </w:rPr>
        <w:t>+1)</w:t>
      </w:r>
      <w:r w:rsidRPr="006F532D">
        <w:rPr>
          <w:rFonts w:ascii="Times New Roman" w:hAnsi="Times New Roman"/>
          <w:sz w:val="24"/>
          <w:szCs w:val="24"/>
        </w:rPr>
        <w:t xml:space="preserve"> / </w:t>
      </w:r>
      <w:r w:rsidR="00344F4E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=1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Таким </w:t>
      </w:r>
      <w:proofErr w:type="gramStart"/>
      <w:r w:rsidRPr="006F532D">
        <w:rPr>
          <w:rFonts w:ascii="Times New Roman" w:hAnsi="Times New Roman"/>
          <w:sz w:val="24"/>
          <w:szCs w:val="24"/>
        </w:rPr>
        <w:t>образом</w:t>
      </w:r>
      <w:proofErr w:type="gramEnd"/>
      <w:r w:rsidRPr="006F532D">
        <w:rPr>
          <w:rFonts w:ascii="Times New Roman" w:hAnsi="Times New Roman"/>
          <w:sz w:val="24"/>
          <w:szCs w:val="24"/>
        </w:rPr>
        <w:t xml:space="preserve"> цели и задачи подпрограммы </w:t>
      </w:r>
      <w:r w:rsidR="00344F4E">
        <w:rPr>
          <w:rFonts w:ascii="Times New Roman" w:hAnsi="Times New Roman"/>
          <w:sz w:val="24"/>
          <w:szCs w:val="24"/>
        </w:rPr>
        <w:t>в основном достигнуты.</w:t>
      </w:r>
    </w:p>
    <w:p w:rsidR="001B5BF5" w:rsidRPr="006F532D" w:rsidRDefault="001B5BF5" w:rsidP="001B5BF5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соответствия запланированному уровню затрат оценивается для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>,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где: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lastRenderedPageBreak/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485DE4" w:rsidRPr="006F532D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="00CB2BF0">
        <w:rPr>
          <w:rFonts w:ascii="Times New Roman" w:hAnsi="Times New Roman" w:cs="Times New Roman"/>
          <w:sz w:val="24"/>
          <w:szCs w:val="24"/>
        </w:rPr>
        <w:t>1597,458,30</w:t>
      </w:r>
      <w:r w:rsidR="004F79F1">
        <w:rPr>
          <w:rFonts w:ascii="Times New Roman" w:hAnsi="Times New Roman" w:cs="Times New Roman"/>
          <w:sz w:val="24"/>
          <w:szCs w:val="24"/>
        </w:rPr>
        <w:t>/</w:t>
      </w:r>
      <w:r w:rsidR="00CB2BF0">
        <w:rPr>
          <w:rFonts w:ascii="Times New Roman" w:hAnsi="Times New Roman" w:cs="Times New Roman"/>
          <w:sz w:val="24"/>
          <w:szCs w:val="24"/>
        </w:rPr>
        <w:t>1693,407,17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172910">
        <w:rPr>
          <w:rFonts w:ascii="Times New Roman" w:hAnsi="Times New Roman" w:cs="Times New Roman"/>
          <w:sz w:val="24"/>
          <w:szCs w:val="24"/>
        </w:rPr>
        <w:t>1</w:t>
      </w:r>
    </w:p>
    <w:p w:rsidR="00485DE4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532D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степень соответствия запланированному уровню затрат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подпрограмме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оценивается как высокая.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46A8294" wp14:editId="25203252">
            <wp:extent cx="1115695" cy="250190"/>
            <wp:effectExtent l="0" t="0" r="0" b="0"/>
            <wp:docPr id="706" name="Рисунок 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F37435D" wp14:editId="66201CE0">
            <wp:extent cx="250190" cy="231775"/>
            <wp:effectExtent l="0" t="0" r="0" b="0"/>
            <wp:docPr id="707" name="Рисунок 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8C53FF" w:rsidRPr="006F532D">
        <w:rPr>
          <w:rFonts w:ascii="Times New Roman" w:hAnsi="Times New Roman"/>
          <w:sz w:val="24"/>
          <w:szCs w:val="24"/>
        </w:rPr>
        <w:t>местного</w:t>
      </w:r>
      <w:r w:rsidRPr="006F532D">
        <w:rPr>
          <w:rFonts w:ascii="Times New Roman" w:hAnsi="Times New Roman"/>
          <w:sz w:val="24"/>
          <w:szCs w:val="24"/>
        </w:rPr>
        <w:t xml:space="preserve"> бюджета;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00B243" wp14:editId="2AC39BF8">
            <wp:extent cx="304800" cy="231775"/>
            <wp:effectExtent l="0" t="0" r="0" b="0"/>
            <wp:docPr id="708" name="Рисунок 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4334AA" wp14:editId="064820BF">
            <wp:extent cx="335280" cy="250190"/>
            <wp:effectExtent l="0" t="0" r="0" b="0"/>
            <wp:docPr id="709" name="Рисунок 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Э</w:t>
      </w:r>
      <w:r w:rsidRPr="006F532D"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F532D">
        <w:rPr>
          <w:rFonts w:ascii="Times New Roman" w:hAnsi="Times New Roman"/>
          <w:sz w:val="24"/>
          <w:szCs w:val="24"/>
        </w:rPr>
        <w:t xml:space="preserve">= 1 / </w:t>
      </w:r>
      <w:r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1</w:t>
      </w:r>
    </w:p>
    <w:p w:rsidR="001B5BF5" w:rsidRDefault="00485DE4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Таким образом, средства местного бюджета по подпр</w:t>
      </w:r>
      <w:r w:rsidR="004E528D">
        <w:rPr>
          <w:rFonts w:ascii="Times New Roman" w:hAnsi="Times New Roman"/>
          <w:sz w:val="24"/>
          <w:szCs w:val="24"/>
        </w:rPr>
        <w:t>ограмме использованы эффективно.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E528D" w:rsidRPr="006F532D" w:rsidRDefault="004E528D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мероприятий оценивается для подпрограммы как доля мероприятий, выполненных в полном объеме, по следующей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СРм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6F532D">
        <w:rPr>
          <w:rFonts w:ascii="Times New Roman" w:hAnsi="Times New Roman"/>
          <w:sz w:val="24"/>
          <w:szCs w:val="24"/>
        </w:rPr>
        <w:t>Мв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/ М,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СРм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Мв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СРм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172910">
        <w:rPr>
          <w:rFonts w:ascii="Times New Roman" w:hAnsi="Times New Roman"/>
          <w:sz w:val="24"/>
          <w:szCs w:val="24"/>
        </w:rPr>
        <w:t>1</w:t>
      </w:r>
    </w:p>
    <w:p w:rsidR="001B5BF5" w:rsidRPr="006F532D" w:rsidRDefault="00F21317" w:rsidP="004E528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Таким образом, основное мероприятие</w:t>
      </w:r>
      <w:r w:rsidR="004F79F1">
        <w:rPr>
          <w:rFonts w:ascii="Times New Roman" w:hAnsi="Times New Roman" w:cs="Times New Roman"/>
          <w:sz w:val="24"/>
          <w:szCs w:val="24"/>
        </w:rPr>
        <w:t xml:space="preserve"> </w:t>
      </w:r>
      <w:r w:rsidR="004F79F1" w:rsidRPr="00C7265D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4F79F1">
        <w:rPr>
          <w:rFonts w:ascii="Times New Roman" w:hAnsi="Times New Roman" w:cs="Times New Roman"/>
          <w:bCs/>
          <w:iCs/>
          <w:sz w:val="24"/>
          <w:szCs w:val="24"/>
        </w:rPr>
        <w:t>Организация мероприятий по уличному освещению, озеленению, прочих мероприятий по благоустройству» в МО «</w:t>
      </w:r>
      <w:proofErr w:type="spellStart"/>
      <w:r w:rsidR="00CB2BF0">
        <w:rPr>
          <w:rFonts w:ascii="Times New Roman" w:hAnsi="Times New Roman" w:cs="Times New Roman"/>
          <w:bCs/>
          <w:iCs/>
          <w:sz w:val="24"/>
          <w:szCs w:val="24"/>
        </w:rPr>
        <w:t>Заолешенский</w:t>
      </w:r>
      <w:proofErr w:type="spellEnd"/>
      <w:r w:rsidR="004F79F1">
        <w:rPr>
          <w:rFonts w:ascii="Times New Roman" w:hAnsi="Times New Roman" w:cs="Times New Roman"/>
          <w:bCs/>
          <w:iCs/>
          <w:sz w:val="24"/>
          <w:szCs w:val="24"/>
        </w:rPr>
        <w:t xml:space="preserve"> сельсовет </w:t>
      </w:r>
      <w:proofErr w:type="spellStart"/>
      <w:r w:rsidR="004F79F1">
        <w:rPr>
          <w:rFonts w:ascii="Times New Roman" w:hAnsi="Times New Roman" w:cs="Times New Roman"/>
          <w:bCs/>
          <w:iCs/>
          <w:sz w:val="24"/>
          <w:szCs w:val="24"/>
        </w:rPr>
        <w:t>Суджанского</w:t>
      </w:r>
      <w:proofErr w:type="spellEnd"/>
      <w:r w:rsidR="004F79F1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Курской области» 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6A280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B5BF5" w:rsidRPr="006F532D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</w:t>
      </w:r>
      <w:r w:rsidR="00172910">
        <w:rPr>
          <w:rFonts w:ascii="Times New Roman" w:hAnsi="Times New Roman" w:cs="Times New Roman"/>
          <w:sz w:val="24"/>
          <w:szCs w:val="24"/>
        </w:rPr>
        <w:t>высокая</w:t>
      </w:r>
    </w:p>
    <w:p w:rsidR="00F21317" w:rsidRPr="006F532D" w:rsidRDefault="00F21317" w:rsidP="003F405D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6F532D">
        <w:rPr>
          <w:rFonts w:ascii="Times New Roman" w:hAnsi="Times New Roman" w:cs="Times New Roman"/>
          <w:sz w:val="24"/>
          <w:szCs w:val="24"/>
        </w:rPr>
        <w:t>В 20</w:t>
      </w:r>
      <w:r w:rsidR="00004996" w:rsidRPr="006F532D">
        <w:rPr>
          <w:rFonts w:ascii="Times New Roman" w:hAnsi="Times New Roman" w:cs="Times New Roman"/>
          <w:sz w:val="24"/>
          <w:szCs w:val="24"/>
        </w:rPr>
        <w:t>2</w:t>
      </w:r>
      <w:r w:rsidR="00333B52">
        <w:rPr>
          <w:rFonts w:ascii="Times New Roman" w:hAnsi="Times New Roman" w:cs="Times New Roman"/>
          <w:sz w:val="24"/>
          <w:szCs w:val="24"/>
        </w:rPr>
        <w:t>4</w:t>
      </w:r>
      <w:r w:rsidRPr="006F532D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4F79F1" w:rsidRPr="004A1EA5">
        <w:rPr>
          <w:rFonts w:ascii="Times New Roman" w:hAnsi="Times New Roman"/>
        </w:rPr>
        <w:t>«Обеспечение доступным и комфортным жильем и коммунальными услугами граждан в муниципальном образовании «</w:t>
      </w:r>
      <w:proofErr w:type="spellStart"/>
      <w:r w:rsidR="00CB2BF0">
        <w:rPr>
          <w:rFonts w:ascii="Times New Roman" w:hAnsi="Times New Roman"/>
        </w:rPr>
        <w:t>Заолешенский</w:t>
      </w:r>
      <w:proofErr w:type="spellEnd"/>
      <w:r w:rsidR="004F79F1" w:rsidRPr="004A1EA5">
        <w:rPr>
          <w:rFonts w:ascii="Times New Roman" w:hAnsi="Times New Roman"/>
        </w:rPr>
        <w:t xml:space="preserve"> сельсовет» </w:t>
      </w:r>
      <w:proofErr w:type="spellStart"/>
      <w:r w:rsidR="004F79F1" w:rsidRPr="004A1EA5">
        <w:rPr>
          <w:rFonts w:ascii="Times New Roman" w:hAnsi="Times New Roman"/>
        </w:rPr>
        <w:t>Суджанского</w:t>
      </w:r>
      <w:proofErr w:type="spellEnd"/>
      <w:r w:rsidR="004F79F1" w:rsidRPr="004A1EA5">
        <w:rPr>
          <w:rFonts w:ascii="Times New Roman" w:hAnsi="Times New Roman"/>
        </w:rPr>
        <w:t xml:space="preserve"> района Курской области»</w:t>
      </w:r>
      <w:r w:rsidR="006A280C">
        <w:rPr>
          <w:iCs/>
          <w:color w:val="000000"/>
          <w:sz w:val="28"/>
          <w:szCs w:val="28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6A280C">
        <w:rPr>
          <w:rFonts w:ascii="Times New Roman" w:hAnsi="Times New Roman" w:cs="Times New Roman"/>
          <w:sz w:val="24"/>
          <w:szCs w:val="24"/>
        </w:rPr>
        <w:t>высокой.</w:t>
      </w:r>
    </w:p>
    <w:sectPr w:rsidR="00F21317" w:rsidRPr="006F532D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33B52"/>
    <w:rsid w:val="00344F4E"/>
    <w:rsid w:val="003703B1"/>
    <w:rsid w:val="00390CE2"/>
    <w:rsid w:val="003931E0"/>
    <w:rsid w:val="00394008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D1759"/>
    <w:rsid w:val="004E0B4C"/>
    <w:rsid w:val="004E528D"/>
    <w:rsid w:val="004F79F1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8E09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91AC0"/>
    <w:rsid w:val="00A9323D"/>
    <w:rsid w:val="00AB0AC4"/>
    <w:rsid w:val="00B07CC2"/>
    <w:rsid w:val="00B646E5"/>
    <w:rsid w:val="00B732CC"/>
    <w:rsid w:val="00B76183"/>
    <w:rsid w:val="00B97D20"/>
    <w:rsid w:val="00BB08AA"/>
    <w:rsid w:val="00BB3AC4"/>
    <w:rsid w:val="00BC29F6"/>
    <w:rsid w:val="00BC6403"/>
    <w:rsid w:val="00C3042A"/>
    <w:rsid w:val="00C665C4"/>
    <w:rsid w:val="00C8384B"/>
    <w:rsid w:val="00C859D7"/>
    <w:rsid w:val="00CB2BF0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40CAB"/>
    <w:rsid w:val="00F442B7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CB2BF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49E7-6AAF-4AB5-AE35-ECF69AC9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SUDGA</cp:lastModifiedBy>
  <cp:revision>70</cp:revision>
  <cp:lastPrinted>2024-02-29T10:51:00Z</cp:lastPrinted>
  <dcterms:created xsi:type="dcterms:W3CDTF">2020-02-15T17:39:00Z</dcterms:created>
  <dcterms:modified xsi:type="dcterms:W3CDTF">2025-04-22T08:10:00Z</dcterms:modified>
</cp:coreProperties>
</file>